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>
  <w:body>
    <w:p>
      <w:pPr>
        <w:spacing w:line="360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УДК </w:t>
      </w:r>
      <w:r>
        <w:rPr>
          <w:b/>
          <w:bCs/>
          <w:lang w:val="ru-RU" w:eastAsia="ru-RU"/>
        </w:rPr>
        <w:t>...</w:t>
      </w:r>
    </w:p>
    <w:p>
      <w:pPr>
        <w:spacing w:line="36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ВЕЛИКОЕ ПРОТИВОСТОЯНИЕ: </w:t>
      </w:r>
    </w:p>
    <w:p>
      <w:pPr>
        <w:spacing w:line="36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СЕЛЕВК II КАЛЛИНИК И АРШАК I</w:t>
      </w:r>
    </w:p>
    <w:p>
      <w:pPr>
        <w:spacing w:line="360"/>
        <w:jc w:val="center"/>
        <w:rPr>
          <w:b/>
          <w:bCs/>
          <w:i/>
          <w:iCs/>
          <w:lang w:eastAsia="ru-RU"/>
        </w:rPr>
      </w:pPr>
      <w:r>
        <w:rPr>
          <w:b/>
          <w:bCs/>
          <w:lang w:eastAsia="ru-RU"/>
        </w:rPr>
        <w:t xml:space="preserve">А.С. </w:t>
      </w:r>
      <w:r>
        <w:rPr>
          <w:b/>
          <w:bCs/>
          <w:lang w:eastAsia="ru-RU"/>
        </w:rPr>
        <w:t>Балахванцев</w:t>
      </w:r>
      <w:r>
        <w:rPr>
          <w:lang w:eastAsia="ru-RU"/>
        </w:rPr>
        <w:br w:type="textWrapping"/>
      </w:r>
      <w:r>
        <w:rPr>
          <w:b/>
          <w:bCs/>
          <w:i/>
          <w:iCs/>
          <w:lang w:eastAsia="ru-RU"/>
        </w:rPr>
        <w:t>Институт востоковедения Российской академии наук</w:t>
      </w:r>
    </w:p>
    <w:p>
      <w:pPr>
        <w:spacing w:line="360"/>
        <w:jc w:val="center"/>
        <w:rPr>
          <w:color w:val="ff0000"/>
          <w:lang w:eastAsia="ru-RU"/>
        </w:rPr>
      </w:pPr>
    </w:p>
    <w:p>
      <w:pPr>
        <w:spacing w:line="360"/>
        <w:jc w:val="center"/>
        <w:rPr>
          <w:color w:val="ff0000"/>
          <w:lang w:eastAsia="ru-RU"/>
        </w:rPr>
      </w:pPr>
      <w:r>
        <w:rPr>
          <w:color w:val="ff0000"/>
          <w:lang w:eastAsia="ru-RU"/>
        </w:rPr>
        <w:t>(НАЗВАНИЕ СТАТЬИ НА АНГЛИЙСКОМ ЯЗЫКЕ)</w:t>
      </w:r>
    </w:p>
    <w:p>
      <w:pPr>
        <w:spacing w:line="360"/>
        <w:jc w:val="center"/>
        <w:rPr>
          <w:color w:val="ff0000"/>
          <w:lang w:eastAsia="ru-RU"/>
        </w:rPr>
      </w:pPr>
      <w:r>
        <w:rPr>
          <w:b/>
          <w:bCs/>
          <w:i w:val="off"/>
          <w:iCs w:val="off"/>
          <w:lang w:val="en-US" w:eastAsia="ru-RU"/>
        </w:rPr>
        <w:t xml:space="preserve">A.S. </w:t>
      </w:r>
      <w:r>
        <w:rPr>
          <w:b/>
          <w:bCs/>
          <w:i w:val="off"/>
          <w:iCs w:val="off"/>
          <w:lang w:val="en-US" w:eastAsia="ru-RU"/>
        </w:rPr>
        <w:t>Balakhvantsev</w:t>
      </w:r>
      <w:r>
        <w:rPr>
          <w:i/>
          <w:iCs/>
          <w:lang w:val="en-US" w:eastAsia="ru-RU"/>
        </w:rPr>
        <w:t xml:space="preserve"> </w:t>
      </w:r>
    </w:p>
    <w:p>
      <w:pPr>
        <w:spacing w:line="360"/>
        <w:jc w:val="center"/>
        <w:rPr>
          <w:b/>
          <w:bCs/>
          <w:i/>
          <w:iCs/>
          <w:lang w:val="en-US" w:eastAsia="ru-RU"/>
        </w:rPr>
      </w:pPr>
      <w:r>
        <w:rPr>
          <w:b/>
          <w:bCs/>
          <w:i/>
          <w:iCs/>
          <w:lang w:val="en-US" w:eastAsia="ru-RU"/>
        </w:rPr>
        <w:t>Institute of Oriental Studies Russian Academy of Sciences</w:t>
      </w:r>
    </w:p>
    <w:p>
      <w:pPr>
        <w:spacing w:line="240"/>
        <w:jc w:val="both"/>
        <w:rPr>
          <w:sz w:val="24"/>
          <w:szCs w:val="18"/>
          <w:lang w:eastAsia="ru-RU"/>
        </w:rPr>
      </w:pPr>
      <w:r>
        <w:rPr>
          <w:lang w:eastAsia="ru-RU"/>
        </w:rPr>
        <w:br w:type="textWrapping"/>
      </w:r>
      <w:r>
        <w:rPr>
          <w:b/>
          <w:bCs/>
          <w:sz w:val="24"/>
          <w:szCs w:val="18"/>
          <w:lang w:eastAsia="ru-RU"/>
        </w:rPr>
        <w:t>Аннотация:</w:t>
      </w:r>
      <w:r>
        <w:rPr>
          <w:b/>
          <w:bCs/>
          <w:sz w:val="24"/>
          <w:szCs w:val="18"/>
          <w:lang w:eastAsia="ru-RU"/>
        </w:rPr>
        <w:t> </w:t>
      </w:r>
      <w:r>
        <w:rPr>
          <w:color w:val="ff0000"/>
          <w:sz w:val="24"/>
          <w:szCs w:val="18"/>
          <w:lang w:eastAsia="ru-RU"/>
        </w:rPr>
        <w:t>(на русском языке 12 шрифт 1 интервал</w:t>
      </w:r>
      <w:r>
        <w:rPr>
          <w:color w:val="ff0000"/>
          <w:sz w:val="24"/>
          <w:szCs w:val="18"/>
          <w:lang w:val="ru-RU" w:eastAsia="ru-RU"/>
        </w:rPr>
        <w:t>)</w:t>
      </w:r>
      <w:r>
        <w:rPr>
          <w:sz w:val="24"/>
          <w:szCs w:val="18"/>
          <w:lang w:eastAsia="ru-RU"/>
        </w:rPr>
        <w:t> </w:t>
      </w:r>
      <w:r>
        <w:rPr>
          <w:i/>
          <w:iCs/>
          <w:sz w:val="24"/>
          <w:szCs w:val="18"/>
          <w:lang w:eastAsia="ru-RU"/>
        </w:rPr>
        <w:t xml:space="preserve">в статье рассматривается вопрос о результатах похода </w:t>
      </w:r>
      <w:r>
        <w:rPr>
          <w:i/>
          <w:iCs/>
          <w:sz w:val="24"/>
          <w:szCs w:val="18"/>
          <w:lang w:eastAsia="ru-RU"/>
        </w:rPr>
        <w:t>Селевка</w:t>
      </w:r>
      <w:r>
        <w:rPr>
          <w:i/>
          <w:iCs/>
          <w:sz w:val="24"/>
          <w:szCs w:val="18"/>
          <w:lang w:eastAsia="ru-RU"/>
        </w:rPr>
        <w:t xml:space="preserve"> II </w:t>
      </w:r>
      <w:r>
        <w:rPr>
          <w:i/>
          <w:iCs/>
          <w:sz w:val="24"/>
          <w:szCs w:val="18"/>
          <w:lang w:eastAsia="ru-RU"/>
        </w:rPr>
        <w:t>Каллиника</w:t>
      </w:r>
      <w:r>
        <w:rPr>
          <w:i/>
          <w:iCs/>
          <w:sz w:val="24"/>
          <w:szCs w:val="18"/>
          <w:lang w:eastAsia="ru-RU"/>
        </w:rPr>
        <w:t xml:space="preserve"> против Парфии в 231–230 гг. до н. э. Автор приходит к выводу, что </w:t>
      </w:r>
      <w:r>
        <w:rPr>
          <w:i/>
          <w:iCs/>
          <w:sz w:val="24"/>
          <w:szCs w:val="18"/>
          <w:lang w:eastAsia="ru-RU"/>
        </w:rPr>
        <w:t>Селевку</w:t>
      </w:r>
      <w:r>
        <w:rPr>
          <w:i/>
          <w:iCs/>
          <w:sz w:val="24"/>
          <w:szCs w:val="18"/>
          <w:lang w:eastAsia="ru-RU"/>
        </w:rPr>
        <w:t xml:space="preserve">, вопреки свидетельству </w:t>
      </w:r>
      <w:r>
        <w:rPr>
          <w:i/>
          <w:iCs/>
          <w:sz w:val="24"/>
          <w:szCs w:val="18"/>
          <w:lang w:eastAsia="ru-RU"/>
        </w:rPr>
        <w:t>Юстина</w:t>
      </w:r>
      <w:r>
        <w:rPr>
          <w:i/>
          <w:iCs/>
          <w:sz w:val="24"/>
          <w:szCs w:val="18"/>
          <w:lang w:eastAsia="ru-RU"/>
        </w:rPr>
        <w:t>,у</w:t>
      </w:r>
      <w:r>
        <w:rPr>
          <w:i/>
          <w:iCs/>
          <w:sz w:val="24"/>
          <w:szCs w:val="18"/>
          <w:lang w:eastAsia="ru-RU"/>
        </w:rPr>
        <w:t>далось</w:t>
      </w:r>
      <w:r>
        <w:rPr>
          <w:i/>
          <w:iCs/>
          <w:sz w:val="24"/>
          <w:szCs w:val="18"/>
          <w:lang w:eastAsia="ru-RU"/>
        </w:rPr>
        <w:t xml:space="preserve"> нанести поражение вождю </w:t>
      </w:r>
      <w:r>
        <w:rPr>
          <w:i/>
          <w:iCs/>
          <w:sz w:val="24"/>
          <w:szCs w:val="18"/>
          <w:lang w:eastAsia="ru-RU"/>
        </w:rPr>
        <w:t>парнов</w:t>
      </w:r>
      <w:r>
        <w:rPr>
          <w:i/>
          <w:iCs/>
          <w:sz w:val="24"/>
          <w:szCs w:val="18"/>
          <w:lang w:eastAsia="ru-RU"/>
        </w:rPr>
        <w:t xml:space="preserve"> </w:t>
      </w:r>
      <w:r>
        <w:rPr>
          <w:i/>
          <w:iCs/>
          <w:sz w:val="24"/>
          <w:szCs w:val="18"/>
          <w:lang w:eastAsia="ru-RU"/>
        </w:rPr>
        <w:t>Аршаку</w:t>
      </w:r>
      <w:r>
        <w:rPr>
          <w:i/>
          <w:iCs/>
          <w:sz w:val="24"/>
          <w:szCs w:val="18"/>
          <w:lang w:eastAsia="ru-RU"/>
        </w:rPr>
        <w:t xml:space="preserve"> и восстановить свою власть в </w:t>
      </w:r>
      <w:r>
        <w:rPr>
          <w:i/>
          <w:iCs/>
          <w:sz w:val="24"/>
          <w:szCs w:val="18"/>
          <w:lang w:eastAsia="ru-RU"/>
        </w:rPr>
        <w:t>Парфиене</w:t>
      </w:r>
      <w:r>
        <w:rPr>
          <w:i/>
          <w:iCs/>
          <w:sz w:val="24"/>
          <w:szCs w:val="18"/>
          <w:lang w:eastAsia="ru-RU"/>
        </w:rPr>
        <w:t>.</w:t>
      </w:r>
    </w:p>
    <w:p>
      <w:pPr>
        <w:spacing w:line="240"/>
        <w:jc w:val="both"/>
        <w:rPr>
          <w:b w:val="off"/>
          <w:bCs w:val="off"/>
          <w:i/>
          <w:iCs/>
          <w:sz w:val="24"/>
          <w:szCs w:val="18"/>
          <w:lang w:eastAsia="ru-RU"/>
        </w:rPr>
      </w:pPr>
      <w:r>
        <w:rPr>
          <w:b/>
          <w:bCs/>
          <w:sz w:val="24"/>
          <w:szCs w:val="18"/>
          <w:lang w:eastAsia="ru-RU"/>
        </w:rPr>
        <w:t>Ключевые слова:</w:t>
      </w:r>
      <w:r>
        <w:rPr>
          <w:sz w:val="24"/>
          <w:szCs w:val="18"/>
          <w:lang w:eastAsia="ru-RU"/>
        </w:rPr>
        <w:t> </w:t>
      </w:r>
      <w:r>
        <w:rPr>
          <w:color w:val="ff0000"/>
          <w:sz w:val="24"/>
          <w:szCs w:val="18"/>
          <w:lang w:val="ru-RU" w:eastAsia="ru-RU"/>
        </w:rPr>
        <w:t>(</w:t>
      </w:r>
      <w:r>
        <w:rPr>
          <w:color w:val="ff0000"/>
          <w:sz w:val="24"/>
          <w:szCs w:val="18"/>
          <w:lang w:eastAsia="ru-RU"/>
        </w:rPr>
        <w:t>3-5 на русском языке</w:t>
      </w:r>
      <w:r>
        <w:rPr>
          <w:color w:val="ff0000"/>
          <w:sz w:val="24"/>
          <w:szCs w:val="18"/>
          <w:lang w:val="ru-RU" w:eastAsia="ru-RU"/>
        </w:rPr>
        <w:t>)</w:t>
      </w:r>
      <w:r>
        <w:rPr>
          <w:sz w:val="24"/>
          <w:szCs w:val="18"/>
          <w:lang w:eastAsia="ru-RU"/>
        </w:rPr>
        <w:t> </w:t>
      </w:r>
      <w:r>
        <w:rPr>
          <w:b w:val="off"/>
          <w:bCs w:val="off"/>
          <w:i/>
          <w:iCs/>
          <w:sz w:val="24"/>
          <w:szCs w:val="18"/>
          <w:lang w:eastAsia="ru-RU"/>
        </w:rPr>
        <w:t>Селевк</w:t>
      </w:r>
      <w:r>
        <w:rPr>
          <w:b w:val="off"/>
          <w:bCs w:val="off"/>
          <w:i/>
          <w:iCs/>
          <w:sz w:val="24"/>
          <w:szCs w:val="18"/>
          <w:lang w:eastAsia="ru-RU"/>
        </w:rPr>
        <w:t xml:space="preserve"> II, </w:t>
      </w:r>
      <w:r>
        <w:rPr>
          <w:b w:val="off"/>
          <w:bCs w:val="off"/>
          <w:i/>
          <w:iCs/>
          <w:sz w:val="24"/>
          <w:szCs w:val="18"/>
          <w:lang w:eastAsia="ru-RU"/>
        </w:rPr>
        <w:t>Аршак</w:t>
      </w:r>
      <w:r>
        <w:rPr>
          <w:b w:val="off"/>
          <w:bCs w:val="off"/>
          <w:i/>
          <w:iCs/>
          <w:sz w:val="24"/>
          <w:szCs w:val="18"/>
          <w:lang w:eastAsia="ru-RU"/>
        </w:rPr>
        <w:t xml:space="preserve"> I, Парфия, </w:t>
      </w:r>
      <w:r>
        <w:rPr>
          <w:b w:val="off"/>
          <w:bCs w:val="off"/>
          <w:i/>
          <w:iCs/>
          <w:sz w:val="24"/>
          <w:szCs w:val="18"/>
          <w:lang w:eastAsia="ru-RU"/>
        </w:rPr>
        <w:t>Юстин</w:t>
      </w:r>
      <w:r>
        <w:rPr>
          <w:b w:val="off"/>
          <w:bCs w:val="off"/>
          <w:i/>
          <w:iCs/>
          <w:sz w:val="24"/>
          <w:szCs w:val="18"/>
          <w:lang w:eastAsia="ru-RU"/>
        </w:rPr>
        <w:t>.</w:t>
      </w:r>
    </w:p>
    <w:p>
      <w:pPr>
        <w:spacing w:line="240"/>
        <w:jc w:val="both"/>
        <w:rPr>
          <w:b w:val="off"/>
          <w:bCs w:val="off"/>
          <w:i/>
          <w:iCs/>
          <w:sz w:val="24"/>
          <w:szCs w:val="18"/>
          <w:lang w:val="en-US" w:eastAsia="ru-RU"/>
        </w:rPr>
      </w:pPr>
    </w:p>
    <w:p>
      <w:pPr>
        <w:spacing w:line="240"/>
        <w:jc w:val="both"/>
        <w:rPr>
          <w:b w:val="off"/>
          <w:bCs w:val="off"/>
          <w:i/>
          <w:iCs/>
          <w:sz w:val="24"/>
          <w:szCs w:val="18"/>
          <w:lang w:val="en-US" w:eastAsia="ru-RU"/>
        </w:rPr>
      </w:pPr>
      <w:r>
        <w:rPr>
          <w:b/>
          <w:bCs/>
          <w:i w:val="off"/>
          <w:iCs w:val="off"/>
          <w:sz w:val="24"/>
          <w:szCs w:val="18"/>
          <w:lang w:val="en-US" w:eastAsia="ru-RU"/>
        </w:rPr>
        <w:t>Abstract:</w:t>
      </w:r>
      <w:r>
        <w:rPr>
          <w:b/>
          <w:bCs/>
          <w:i w:val="off"/>
          <w:iCs w:val="off"/>
          <w:sz w:val="24"/>
          <w:szCs w:val="18"/>
          <w:lang w:val="en-US" w:eastAsia="ru-RU"/>
        </w:rPr>
        <w:t> </w:t>
      </w:r>
      <w:r>
        <w:rPr>
          <w:b w:val="off"/>
          <w:bCs w:val="off"/>
          <w:i w:val="off"/>
          <w:iCs w:val="off"/>
          <w:color w:val="ff0000"/>
          <w:sz w:val="24"/>
          <w:szCs w:val="18"/>
          <w:lang w:val="en-US" w:eastAsia="ru-RU"/>
        </w:rPr>
        <w:t>(</w:t>
      </w:r>
      <w:r>
        <w:rPr>
          <w:b w:val="off"/>
          <w:bCs w:val="off"/>
          <w:i w:val="off"/>
          <w:iCs w:val="off"/>
          <w:color w:val="ff0000"/>
          <w:sz w:val="24"/>
          <w:szCs w:val="18"/>
          <w:lang w:val="ru-RU" w:eastAsia="ru-RU"/>
        </w:rPr>
        <w:t>на английском языке)</w:t>
      </w:r>
      <w:r>
        <w:rPr>
          <w:b w:val="off"/>
          <w:bCs w:val="off"/>
          <w:i/>
          <w:iCs/>
          <w:sz w:val="24"/>
          <w:szCs w:val="18"/>
          <w:lang w:val="en-US" w:eastAsia="ru-RU"/>
        </w:rPr>
        <w:t xml:space="preserve">this paper examines the results of </w:t>
      </w:r>
      <w:r>
        <w:rPr>
          <w:b w:val="off"/>
          <w:bCs w:val="off"/>
          <w:i/>
          <w:iCs/>
          <w:sz w:val="24"/>
          <w:szCs w:val="18"/>
          <w:lang w:val="en-US" w:eastAsia="ru-RU"/>
        </w:rPr>
        <w:t>Seleucus</w:t>
      </w:r>
      <w:r>
        <w:rPr>
          <w:b w:val="off"/>
          <w:bCs w:val="off"/>
          <w:i/>
          <w:iCs/>
          <w:sz w:val="24"/>
          <w:szCs w:val="18"/>
          <w:lang w:val="en-US" w:eastAsia="ru-RU"/>
        </w:rPr>
        <w:t xml:space="preserve"> II </w:t>
      </w:r>
      <w:r>
        <w:rPr>
          <w:b w:val="off"/>
          <w:bCs w:val="off"/>
          <w:i/>
          <w:iCs/>
          <w:sz w:val="24"/>
          <w:szCs w:val="18"/>
          <w:lang w:val="en-US" w:eastAsia="ru-RU"/>
        </w:rPr>
        <w:t>Callinicus</w:t>
      </w:r>
      <w:r>
        <w:rPr>
          <w:b w:val="off"/>
          <w:bCs w:val="off"/>
          <w:i/>
          <w:iCs/>
          <w:sz w:val="24"/>
          <w:szCs w:val="18"/>
          <w:lang w:val="en-US" w:eastAsia="ru-RU"/>
        </w:rPr>
        <w:t xml:space="preserve">’ campaign against Parthia in 231–230 BC. The author concludes that contradictory to Justin’s account, </w:t>
      </w:r>
      <w:r>
        <w:rPr>
          <w:b w:val="off"/>
          <w:bCs w:val="off"/>
          <w:i/>
          <w:iCs/>
          <w:sz w:val="24"/>
          <w:szCs w:val="18"/>
          <w:lang w:val="en-US" w:eastAsia="ru-RU"/>
        </w:rPr>
        <w:t>Seleucus</w:t>
      </w:r>
      <w:r>
        <w:rPr>
          <w:b w:val="off"/>
          <w:bCs w:val="off"/>
          <w:i/>
          <w:iCs/>
          <w:sz w:val="24"/>
          <w:szCs w:val="18"/>
          <w:lang w:val="en-US" w:eastAsia="ru-RU"/>
        </w:rPr>
        <w:t xml:space="preserve"> did manage to defeat the </w:t>
      </w:r>
      <w:r>
        <w:rPr>
          <w:b w:val="off"/>
          <w:bCs w:val="off"/>
          <w:i/>
          <w:iCs/>
          <w:sz w:val="24"/>
          <w:szCs w:val="18"/>
          <w:lang w:val="en-US" w:eastAsia="ru-RU"/>
        </w:rPr>
        <w:t>Parni</w:t>
      </w:r>
      <w:r>
        <w:rPr>
          <w:b w:val="off"/>
          <w:bCs w:val="off"/>
          <w:i/>
          <w:iCs/>
          <w:sz w:val="24"/>
          <w:szCs w:val="18"/>
          <w:lang w:val="en-US" w:eastAsia="ru-RU"/>
        </w:rPr>
        <w:t xml:space="preserve"> forces of </w:t>
      </w:r>
      <w:r>
        <w:rPr>
          <w:b w:val="off"/>
          <w:bCs w:val="off"/>
          <w:i/>
          <w:iCs/>
          <w:sz w:val="24"/>
          <w:szCs w:val="18"/>
          <w:lang w:val="en-US" w:eastAsia="ru-RU"/>
        </w:rPr>
        <w:t>Arsaces</w:t>
      </w:r>
      <w:r>
        <w:rPr>
          <w:b w:val="off"/>
          <w:bCs w:val="off"/>
          <w:i/>
          <w:iCs/>
          <w:sz w:val="24"/>
          <w:szCs w:val="18"/>
          <w:lang w:val="en-US" w:eastAsia="ru-RU"/>
        </w:rPr>
        <w:t xml:space="preserve"> and reinstate his rule in </w:t>
      </w:r>
      <w:r>
        <w:rPr>
          <w:b w:val="off"/>
          <w:bCs w:val="off"/>
          <w:i/>
          <w:iCs/>
          <w:sz w:val="24"/>
          <w:szCs w:val="18"/>
          <w:lang w:val="en-US" w:eastAsia="ru-RU"/>
        </w:rPr>
        <w:t>Parthyene</w:t>
      </w:r>
      <w:r>
        <w:rPr>
          <w:b w:val="off"/>
          <w:bCs w:val="off"/>
          <w:i/>
          <w:iCs/>
          <w:sz w:val="24"/>
          <w:szCs w:val="18"/>
          <w:lang w:val="en-US" w:eastAsia="ru-RU"/>
        </w:rPr>
        <w:t>.</w:t>
      </w:r>
    </w:p>
    <w:p>
      <w:pPr>
        <w:spacing w:line="240"/>
        <w:rPr>
          <w:sz w:val="24"/>
          <w:szCs w:val="18"/>
          <w:lang w:val="en-US" w:eastAsia="ru-RU"/>
        </w:rPr>
      </w:pPr>
      <w:r>
        <w:rPr>
          <w:b/>
          <w:bCs/>
          <w:sz w:val="24"/>
          <w:szCs w:val="18"/>
          <w:lang w:eastAsia="ru-RU"/>
        </w:rPr>
        <w:t>К</w:t>
      </w:r>
      <w:r>
        <w:rPr>
          <w:b/>
          <w:bCs/>
          <w:sz w:val="24"/>
          <w:szCs w:val="18"/>
          <w:lang w:val="en-US" w:eastAsia="ru-RU"/>
        </w:rPr>
        <w:t>ey words</w:t>
      </w:r>
      <w:r>
        <w:rPr>
          <w:b/>
          <w:bCs/>
          <w:sz w:val="24"/>
          <w:szCs w:val="18"/>
          <w:lang w:val="en-US" w:eastAsia="ru-RU"/>
        </w:rPr>
        <w:t>:</w:t>
      </w:r>
      <w:r>
        <w:rPr>
          <w:b/>
          <w:bCs/>
          <w:sz w:val="24"/>
          <w:szCs w:val="18"/>
          <w:lang w:val="en-US" w:eastAsia="ru-RU"/>
        </w:rPr>
        <w:t> </w:t>
      </w:r>
      <w:r>
        <w:rPr>
          <w:b w:val="off"/>
          <w:bCs w:val="off"/>
          <w:color w:val="ff0000"/>
          <w:sz w:val="24"/>
          <w:szCs w:val="18"/>
          <w:lang w:val="en-US" w:eastAsia="ru-RU"/>
        </w:rPr>
        <w:t>(</w:t>
      </w:r>
      <w:r>
        <w:rPr>
          <w:b w:val="off"/>
          <w:bCs w:val="off"/>
          <w:color w:val="ff0000"/>
          <w:sz w:val="24"/>
          <w:szCs w:val="18"/>
          <w:lang w:val="ru-RU" w:eastAsia="ru-RU"/>
        </w:rPr>
        <w:t>на английском языке)</w:t>
      </w:r>
      <w:r>
        <w:rPr>
          <w:b/>
          <w:bCs/>
          <w:sz w:val="24"/>
          <w:szCs w:val="18"/>
          <w:lang w:val="ru-RU" w:eastAsia="ru-RU"/>
        </w:rPr>
        <w:t xml:space="preserve"> </w:t>
      </w:r>
      <w:r>
        <w:rPr>
          <w:i/>
          <w:iCs/>
          <w:sz w:val="24"/>
          <w:szCs w:val="18"/>
          <w:lang w:val="en-US" w:eastAsia="ru-RU"/>
        </w:rPr>
        <w:t>Seleucus</w:t>
      </w:r>
      <w:r>
        <w:rPr>
          <w:i/>
          <w:iCs/>
          <w:sz w:val="24"/>
          <w:szCs w:val="18"/>
          <w:lang w:val="en-US" w:eastAsia="ru-RU"/>
        </w:rPr>
        <w:t xml:space="preserve"> II </w:t>
      </w:r>
      <w:r>
        <w:rPr>
          <w:i/>
          <w:iCs/>
          <w:sz w:val="24"/>
          <w:szCs w:val="18"/>
          <w:lang w:val="en-US" w:eastAsia="ru-RU"/>
        </w:rPr>
        <w:t>Callinicus</w:t>
      </w:r>
      <w:r>
        <w:rPr>
          <w:i/>
          <w:iCs/>
          <w:sz w:val="24"/>
          <w:szCs w:val="18"/>
          <w:lang w:val="en-US" w:eastAsia="ru-RU"/>
        </w:rPr>
        <w:t xml:space="preserve">, </w:t>
      </w:r>
      <w:r>
        <w:rPr>
          <w:i/>
          <w:iCs/>
          <w:sz w:val="24"/>
          <w:szCs w:val="18"/>
          <w:lang w:val="en-US" w:eastAsia="ru-RU"/>
        </w:rPr>
        <w:t>Arsaces</w:t>
      </w:r>
      <w:r>
        <w:rPr>
          <w:i/>
          <w:iCs/>
          <w:sz w:val="24"/>
          <w:szCs w:val="18"/>
          <w:lang w:val="en-US" w:eastAsia="ru-RU"/>
        </w:rPr>
        <w:t xml:space="preserve"> I, </w:t>
      </w:r>
      <w:r>
        <w:rPr>
          <w:i/>
          <w:iCs/>
          <w:sz w:val="24"/>
          <w:szCs w:val="18"/>
          <w:lang w:val="en-US" w:eastAsia="ru-RU"/>
        </w:rPr>
        <w:t>Parthyene</w:t>
      </w:r>
      <w:r>
        <w:rPr>
          <w:i/>
          <w:iCs/>
          <w:sz w:val="24"/>
          <w:szCs w:val="18"/>
          <w:lang w:val="en-US" w:eastAsia="ru-RU"/>
        </w:rPr>
        <w:t>, Justin.</w:t>
      </w:r>
    </w:p>
    <w:p>
      <w:pPr>
        <w:rPr>
          <w:lang w:eastAsia="ru-RU"/>
        </w:rPr>
      </w:pPr>
    </w:p>
    <w:p>
      <w:pPr>
        <w:spacing w:line="360"/>
        <w:ind w:firstLine="709"/>
        <w:rPr>
          <w:color w:val="ff0000"/>
          <w:lang w:eastAsia="ru-RU"/>
        </w:rPr>
      </w:pPr>
      <w:r>
        <w:rPr>
          <w:b w:val="off"/>
          <w:bCs w:val="off"/>
          <w:color w:val="auto"/>
          <w:lang w:eastAsia="ru-RU"/>
        </w:rPr>
        <w:t>Те</w:t>
      </w:r>
      <w:r>
        <w:rPr>
          <w:b w:val="off"/>
          <w:bCs w:val="off"/>
          <w:color w:val="auto"/>
          <w:lang w:eastAsia="ru-RU"/>
        </w:rPr>
        <w:t>кст ст</w:t>
      </w:r>
      <w:r>
        <w:rPr>
          <w:b w:val="off"/>
          <w:bCs w:val="off"/>
          <w:color w:val="auto"/>
          <w:lang w:eastAsia="ru-RU"/>
        </w:rPr>
        <w:t>атьи</w:t>
      </w:r>
      <w:r>
        <w:rPr>
          <w:color w:val="ff0000"/>
          <w:lang w:eastAsia="ru-RU"/>
        </w:rPr>
        <w:t xml:space="preserve"> (14 шрифт через 1,5 </w:t>
      </w:r>
      <w:r>
        <w:rPr>
          <w:color w:val="ff0000"/>
          <w:lang w:val="ru-RU" w:eastAsia="ru-RU"/>
        </w:rPr>
        <w:t>интервал, отступ абзаца 1,25, ссылки на литературу оформляются в квадратных скобках)</w:t>
      </w:r>
    </w:p>
    <w:p>
      <w:pPr>
        <w:rPr>
          <w:lang w:eastAsia="ru-RU"/>
        </w:rPr>
      </w:pPr>
    </w:p>
    <w:p>
      <w:pPr>
        <w:jc w:val="center"/>
        <w:rPr>
          <w:lang w:eastAsia="ru-RU"/>
        </w:rPr>
      </w:pPr>
      <w:r>
        <w:rPr>
          <w:lang w:eastAsia="ru-RU"/>
        </w:rPr>
        <w:t>ЛИТЕРАТУРА</w:t>
      </w:r>
      <w:r>
        <w:rPr>
          <w:lang w:eastAsia="ru-RU"/>
        </w:rPr>
        <w:br w:type="textWrapping"/>
      </w:r>
      <w:r>
        <w:rPr>
          <w:lang w:eastAsia="ru-RU"/>
        </w:rPr>
        <w:t xml:space="preserve">(список нумеруется в порядке цитирования, оформлено по новым требованиям ГОСТ) </w:t>
      </w:r>
    </w:p>
    <w:p>
      <w:pPr>
        <w:numPr>
          <w:ilvl w:val="0"/>
          <w:numId w:val="1"/>
        </w:numPr>
        <w:spacing w:line="360"/>
        <w:ind w:left="0" w:firstLine="709"/>
        <w:jc w:val="both"/>
        <w:rPr>
          <w:lang w:eastAsia="ru-RU"/>
        </w:rPr>
      </w:pPr>
      <w:r>
        <w:rPr>
          <w:i/>
          <w:iCs/>
          <w:lang w:eastAsia="ru-RU"/>
        </w:rPr>
        <w:t>Тодд</w:t>
      </w:r>
      <w:r>
        <w:rPr>
          <w:i/>
          <w:iCs/>
          <w:lang w:eastAsia="ru-RU"/>
        </w:rPr>
        <w:t xml:space="preserve"> М.</w:t>
      </w:r>
      <w:r>
        <w:rPr>
          <w:lang w:eastAsia="ru-RU"/>
        </w:rPr>
        <w:t> Варвары. Древние германцы. Быт, религия, культура</w:t>
      </w:r>
      <w:r>
        <w:rPr>
          <w:lang w:val="ru-RU" w:eastAsia="ru-RU"/>
        </w:rPr>
        <w:t xml:space="preserve">. </w:t>
      </w:r>
      <w:r>
        <w:rPr>
          <w:lang w:eastAsia="ru-RU"/>
        </w:rPr>
        <w:t>М.</w:t>
      </w:r>
      <w:r>
        <w:rPr>
          <w:lang w:eastAsia="ru-RU"/>
        </w:rPr>
        <w:t xml:space="preserve">, 2005. </w:t>
      </w:r>
      <w:r>
        <w:rPr>
          <w:lang w:val="ru-RU" w:eastAsia="ru-RU"/>
        </w:rPr>
        <w:t>405 с.</w:t>
      </w:r>
    </w:p>
    <w:p>
      <w:pPr>
        <w:spacing w:line="360"/>
        <w:ind w:left="0" w:firstLine="709"/>
        <w:jc w:val="both"/>
        <w:rPr>
          <w:lang w:eastAsia="ru-RU"/>
        </w:rPr>
      </w:pPr>
      <w:r>
        <w:rPr>
          <w:lang w:val="ru-RU" w:eastAsia="ru-RU"/>
        </w:rPr>
        <w:t xml:space="preserve">2. </w:t>
      </w:r>
      <w:r>
        <w:rPr>
          <w:i/>
          <w:iCs/>
          <w:lang w:eastAsia="ru-RU"/>
        </w:rPr>
        <w:t>Херманн</w:t>
      </w:r>
      <w:r>
        <w:rPr>
          <w:i/>
          <w:iCs/>
          <w:lang w:eastAsia="ru-RU"/>
        </w:rPr>
        <w:t xml:space="preserve"> М. </w:t>
      </w:r>
      <w:r>
        <w:rPr>
          <w:lang w:eastAsia="ru-RU"/>
        </w:rPr>
        <w:t>Г.</w:t>
      </w:r>
      <w:r>
        <w:rPr>
          <w:lang w:eastAsia="ru-RU"/>
        </w:rPr>
        <w:t xml:space="preserve"> Составные части лидерства </w:t>
      </w:r>
      <w:r>
        <w:rPr>
          <w:lang w:eastAsia="ru-RU"/>
        </w:rPr>
        <w:t>// Мир политики</w:t>
      </w:r>
      <w:r>
        <w:rPr>
          <w:lang w:eastAsia="ru-RU"/>
        </w:rPr>
        <w:t xml:space="preserve"> :</w:t>
      </w:r>
      <w:r>
        <w:rPr>
          <w:lang w:eastAsia="ru-RU"/>
        </w:rPr>
        <w:t xml:space="preserve"> суждения и оценки западных политологов. М., 1992. С. 91–107.</w:t>
      </w:r>
    </w:p>
    <w:p>
      <w:pPr>
        <w:spacing w:line="360"/>
        <w:ind w:left="0" w:firstLine="709"/>
        <w:jc w:val="both"/>
        <w:rPr>
          <w:lang w:eastAsia="ru-RU"/>
        </w:rPr>
      </w:pPr>
      <w:r>
        <w:rPr>
          <w:lang w:val="ru-RU" w:eastAsia="ru-RU"/>
        </w:rPr>
        <w:t xml:space="preserve">3. </w:t>
      </w:r>
      <w:r>
        <w:rPr>
          <w:i/>
          <w:iCs/>
          <w:lang w:eastAsia="ru-RU"/>
        </w:rPr>
        <w:t>Лотман Ю.</w:t>
      </w:r>
      <w:r>
        <w:rPr>
          <w:lang w:eastAsia="ru-RU"/>
        </w:rPr>
        <w:t xml:space="preserve"> М.</w:t>
      </w:r>
      <w:r>
        <w:rPr>
          <w:lang w:eastAsia="ru-RU"/>
        </w:rPr>
        <w:t> Символ в системе культуры // Избранные статьи</w:t>
      </w:r>
      <w:r>
        <w:rPr>
          <w:lang w:eastAsia="ru-RU"/>
        </w:rPr>
        <w:t xml:space="preserve"> :</w:t>
      </w:r>
      <w:r>
        <w:rPr>
          <w:lang w:eastAsia="ru-RU"/>
        </w:rPr>
        <w:t xml:space="preserve"> в 3 т. Т. I. Статьи по семиотике и топологии культуры. </w:t>
      </w:r>
      <w:r>
        <w:rPr>
          <w:lang w:eastAsia="ru-RU"/>
        </w:rPr>
        <w:t>Таллин</w:t>
      </w:r>
      <w:r>
        <w:rPr>
          <w:lang w:eastAsia="ru-RU"/>
        </w:rPr>
        <w:t>:</w:t>
      </w:r>
      <w:r>
        <w:rPr>
          <w:lang w:eastAsia="ru-RU"/>
        </w:rPr>
        <w:t xml:space="preserve"> Александра, 1992. С. 191–199. </w:t>
      </w:r>
      <w:r>
        <w:rPr>
          <w:lang w:val="en-US" w:eastAsia="ru-RU"/>
        </w:rPr>
        <w:t>URL</w:t>
      </w:r>
      <w:r>
        <w:rPr>
          <w:lang w:eastAsia="ru-RU"/>
        </w:rPr>
        <w:t>: </w:t>
      </w:r>
      <w:r>
        <w:fldChar w:fldCharType="begin"/>
      </w:r>
      <w:r>
        <w:instrText xml:space="preserve">HYPERLINK "http://philologos.narod.ru/lotman/symbol.htm" </w:instrText>
      </w:r>
      <w:r>
        <w:fldChar w:fldCharType="separate"/>
      </w:r>
      <w:r>
        <w:rPr>
          <w:lang w:eastAsia="ru-RU"/>
        </w:rPr>
        <w:t>http://philologos.narod.ru/lotman/symbol.htm</w:t>
      </w:r>
      <w:r>
        <w:fldChar w:fldCharType="end"/>
      </w:r>
      <w:r>
        <w:rPr>
          <w:lang w:val="en-US" w:eastAsia="ru-RU"/>
        </w:rPr>
        <w:t xml:space="preserve"> (</w:t>
      </w:r>
      <w:r>
        <w:rPr>
          <w:lang w:val="ru-RU" w:eastAsia="ru-RU"/>
        </w:rPr>
        <w:t>дата обращения: 25.12.2025).</w:t>
      </w:r>
    </w:p>
    <w:p>
      <w:pPr>
        <w:spacing w:line="360"/>
        <w:ind w:left="0" w:firstLine="709"/>
        <w:jc w:val="both"/>
        <w:rPr>
          <w:lang w:eastAsia="ru-RU"/>
        </w:rPr>
      </w:pPr>
      <w:r>
        <w:rPr>
          <w:lang w:val="ru-RU" w:eastAsia="ru-RU"/>
        </w:rPr>
        <w:t xml:space="preserve">4. </w:t>
      </w:r>
      <w:r>
        <w:rPr>
          <w:lang w:eastAsia="ru-RU"/>
        </w:rPr>
        <w:t>Рассказы о сновидениях</w:t>
      </w:r>
      <w:r>
        <w:rPr>
          <w:lang w:eastAsia="ru-RU"/>
        </w:rPr>
        <w:t xml:space="preserve"> :</w:t>
      </w:r>
      <w:r>
        <w:rPr>
          <w:lang w:eastAsia="ru-RU"/>
        </w:rPr>
        <w:t xml:space="preserve"> корпусное исследование устного русского дискурса / под ред. А. А. </w:t>
      </w:r>
      <w:r>
        <w:rPr>
          <w:lang w:eastAsia="ru-RU"/>
        </w:rPr>
        <w:t>Кибрика</w:t>
      </w:r>
      <w:r>
        <w:rPr>
          <w:lang w:eastAsia="ru-RU"/>
        </w:rPr>
        <w:t xml:space="preserve"> и В. И. </w:t>
      </w:r>
      <w:r>
        <w:rPr>
          <w:lang w:eastAsia="ru-RU"/>
        </w:rPr>
        <w:t>Подлесской</w:t>
      </w:r>
      <w:r>
        <w:rPr>
          <w:lang w:eastAsia="ru-RU"/>
        </w:rPr>
        <w:t>. М.</w:t>
      </w:r>
      <w:r>
        <w:rPr>
          <w:lang w:eastAsia="ru-RU"/>
        </w:rPr>
        <w:t xml:space="preserve"> :</w:t>
      </w:r>
      <w:r>
        <w:rPr>
          <w:lang w:eastAsia="ru-RU"/>
        </w:rPr>
        <w:t xml:space="preserve"> Языки славянских культур, 2009. 736 с.</w:t>
      </w:r>
    </w:p>
    <w:p>
      <w:pPr>
        <w:spacing w:line="360"/>
        <w:ind w:left="0" w:firstLine="709"/>
        <w:jc w:val="both"/>
        <w:rPr/>
      </w:pPr>
      <w:r>
        <w:rPr>
          <w:lang w:val="en-US" w:eastAsia="ru-RU"/>
        </w:rPr>
        <w:t xml:space="preserve">5. </w:t>
      </w:r>
      <w:r>
        <w:rPr>
          <w:i/>
          <w:iCs/>
          <w:lang w:val="en-US" w:eastAsia="ru-RU"/>
        </w:rPr>
        <w:t>Rougemont</w:t>
      </w:r>
      <w:r>
        <w:rPr>
          <w:i/>
          <w:iCs/>
          <w:lang w:val="en-US" w:eastAsia="ru-RU"/>
        </w:rPr>
        <w:t xml:space="preserve"> G.</w:t>
      </w:r>
      <w:r>
        <w:rPr>
          <w:lang w:val="en-US" w:eastAsia="ru-RU"/>
        </w:rPr>
        <w:t xml:space="preserve"> Inscriptions </w:t>
      </w:r>
      <w:r>
        <w:rPr>
          <w:lang w:val="en-US" w:eastAsia="ru-RU"/>
        </w:rPr>
        <w:t>grecques</w:t>
      </w:r>
      <w:r>
        <w:rPr>
          <w:lang w:val="en-US" w:eastAsia="ru-RU"/>
        </w:rPr>
        <w:t xml:space="preserve"> </w:t>
      </w:r>
      <w:r>
        <w:rPr>
          <w:lang w:val="en-US" w:eastAsia="ru-RU"/>
        </w:rPr>
        <w:t>d’Iran</w:t>
      </w:r>
      <w:r>
        <w:rPr>
          <w:lang w:val="en-US" w:eastAsia="ru-RU"/>
        </w:rPr>
        <w:t xml:space="preserve"> </w:t>
      </w:r>
      <w:r>
        <w:rPr>
          <w:lang w:val="en-US" w:eastAsia="ru-RU"/>
        </w:rPr>
        <w:t>et</w:t>
      </w:r>
      <w:r>
        <w:rPr>
          <w:lang w:val="en-US" w:eastAsia="ru-RU"/>
        </w:rPr>
        <w:t xml:space="preserve"> </w:t>
      </w:r>
      <w:r>
        <w:rPr>
          <w:lang w:val="en-US" w:eastAsia="ru-RU"/>
        </w:rPr>
        <w:t>d’Asie</w:t>
      </w:r>
      <w:r>
        <w:rPr>
          <w:lang w:val="en-US" w:eastAsia="ru-RU"/>
        </w:rPr>
        <w:t xml:space="preserve"> </w:t>
      </w:r>
      <w:r>
        <w:rPr>
          <w:lang w:val="en-US" w:eastAsia="ru-RU"/>
        </w:rPr>
        <w:t>centrale</w:t>
      </w:r>
      <w:r>
        <w:rPr>
          <w:lang w:val="en-US" w:eastAsia="ru-RU"/>
        </w:rPr>
        <w:t xml:space="preserve"> (Corpus </w:t>
      </w:r>
      <w:r>
        <w:rPr>
          <w:lang w:val="en-US" w:eastAsia="ru-RU"/>
        </w:rPr>
        <w:t>Inscriptionum</w:t>
      </w:r>
      <w:r>
        <w:rPr>
          <w:lang w:val="en-US" w:eastAsia="ru-RU"/>
        </w:rPr>
        <w:t xml:space="preserve"> </w:t>
      </w:r>
      <w:r>
        <w:rPr>
          <w:lang w:val="en-US" w:eastAsia="ru-RU"/>
        </w:rPr>
        <w:t>Iranicarum</w:t>
      </w:r>
      <w:r>
        <w:rPr>
          <w:lang w:val="en-US" w:eastAsia="ru-RU"/>
        </w:rPr>
        <w:t xml:space="preserve">). </w:t>
      </w:r>
      <w:r>
        <w:rPr>
          <w:lang w:val="en-US" w:eastAsia="ru-RU"/>
        </w:rPr>
        <w:t xml:space="preserve">London, 2012. </w:t>
      </w:r>
      <w:r>
        <w:rPr>
          <w:lang w:val="en-US" w:eastAsia="ru-RU"/>
        </w:rPr>
        <w:t xml:space="preserve">225 </w:t>
      </w:r>
      <w:r>
        <w:rPr>
          <w:lang w:val="ru-RU" w:eastAsia="ru-RU"/>
        </w:rPr>
        <w:t>р.</w:t>
      </w:r>
    </w:p>
    <w:p>
      <w:pPr>
        <w:jc w:val="center"/>
        <w:rPr>
          <w:lang w:eastAsia="ru-RU"/>
        </w:rPr>
      </w:pPr>
    </w:p>
    <w:p>
      <w:pPr>
        <w:jc w:val="center"/>
        <w:rPr>
          <w:lang w:eastAsia="ru-RU"/>
        </w:rPr>
      </w:pPr>
    </w:p>
    <w:p>
      <w:pPr>
        <w:jc w:val="center"/>
        <w:rPr>
          <w:lang w:eastAsia="ru-RU"/>
        </w:rPr>
      </w:pPr>
      <w:r>
        <w:rPr>
          <w:lang w:eastAsia="ru-RU"/>
        </w:rPr>
        <w:t>REFERENCES</w:t>
      </w:r>
    </w:p>
    <w:p>
      <w:pPr>
        <w:jc w:val="center"/>
        <w:rPr>
          <w:lang w:eastAsia="ru-RU"/>
        </w:rPr>
      </w:pPr>
      <w:r>
        <w:rPr>
          <w:lang w:eastAsia="ru-RU"/>
        </w:rPr>
        <w:t>(</w:t>
      </w:r>
      <w:r>
        <w:rPr>
          <w:lang w:eastAsia="ru-RU"/>
        </w:rPr>
        <w:t>Список литературы с транслитерированным вариантом на латинице и переводом названий на английский язык.</w:t>
      </w:r>
      <w:r>
        <w:rPr>
          <w:lang w:eastAsia="ru-RU"/>
        </w:rPr>
        <w:t xml:space="preserve"> </w:t>
      </w:r>
      <w:r>
        <w:rPr>
          <w:lang w:eastAsia="ru-RU"/>
        </w:rPr>
        <w:t>Полностью повторяет нумерацию списка литературы на русском языке)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360" w:lineRule="auto"/>
        <w:ind w:left="0" w:right="0" w:firstLine="709"/>
        <w:jc w:val="both"/>
        <w:rPr>
          <w:highlight w:val="none"/>
          <w:lang w:val="ru-RU" w:eastAsia="ru-RU"/>
        </w:rPr>
      </w:pPr>
      <w:r>
        <w:rPr>
          <w:highlight w:val="none"/>
          <w:lang w:val="ru-RU" w:eastAsia="ru-RU"/>
        </w:rPr>
        <w:t>1.</w:t>
        <w:tab/>
        <w:t>Todd M. </w:t>
      </w:r>
      <w:r>
        <w:rPr>
          <w:i w:val="off"/>
          <w:iCs w:val="off"/>
          <w:highlight w:val="none"/>
          <w:lang w:val="ru-RU" w:eastAsia="ru-RU"/>
        </w:rPr>
        <w:t>Varvary`. Drevnie germancy. By`t, religiya, kul`tura</w:t>
      </w:r>
      <w:r>
        <w:rPr>
          <w:i w:val="off"/>
          <w:iCs w:val="off"/>
          <w:highlight w:val="none"/>
          <w:lang w:val="ru-RU" w:eastAsia="ru-RU"/>
        </w:rPr>
        <w:t xml:space="preserve"> </w:t>
      </w:r>
      <w:r>
        <w:rPr>
          <w:rFonts w:ascii="Times New Roman" w:cs="Times New Roman" w:hAnsi="Times New Roman"/>
          <w:highlight w:val="none"/>
          <w:lang w:val="ru-RU" w:eastAsia="ru-RU"/>
        </w:rPr>
        <w:t>[</w:t>
      </w:r>
      <w:r>
        <w:rPr>
          <w:rFonts w:ascii="Times New Roman" w:cs="Times New Roman" w:hAnsi="Times New Roman"/>
          <w:color w:val="000000"/>
          <w:sz w:val="28"/>
          <w:szCs w:val="28"/>
          <w:highlight w:val="none"/>
          <w:rtl w:val="off"/>
          <w:lang w:val="en-US"/>
        </w:rPr>
        <w:t>Barbarians. Ancient Germans. Everyday life, religion, culture</w:t>
      </w:r>
      <w:r>
        <w:rPr>
          <w:rFonts w:ascii="Times New Roman" w:cs="Times New Roman" w:hAnsi="Times New Roman"/>
          <w:highlight w:val="none"/>
          <w:lang w:val="ru-RU" w:eastAsia="ru-RU"/>
        </w:rPr>
        <w:t>]</w:t>
      </w:r>
      <w:r>
        <w:rPr>
          <w:rFonts w:ascii="Times New Roman" w:cs="Times New Roman" w:hAnsi="Times New Roman"/>
          <w:highlight w:val="none"/>
          <w:lang w:val="ru-RU" w:eastAsia="ru-RU"/>
        </w:rPr>
        <w:t xml:space="preserve">. </w:t>
      </w:r>
      <w:r>
        <w:rPr>
          <w:highlight w:val="none"/>
          <w:lang w:val="ru-RU" w:eastAsia="ru-RU"/>
        </w:rPr>
        <w:t>M., 2005. 405 р.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360" w:lineRule="auto"/>
        <w:ind w:left="0" w:right="0" w:firstLine="709"/>
        <w:jc w:val="both"/>
        <w:rPr>
          <w:highlight w:val="none"/>
          <w:lang w:val="ru-RU" w:eastAsia="ru-RU"/>
        </w:rPr>
      </w:pPr>
      <w:r>
        <w:rPr>
          <w:highlight w:val="none"/>
          <w:lang w:val="ru-RU" w:eastAsia="ru-RU"/>
        </w:rPr>
        <w:t xml:space="preserve">2. Xermann M. G. Sostavny`e chasti liderstva </w:t>
      </w:r>
      <w:r>
        <w:rPr>
          <w:rFonts w:ascii="Times New Roman" w:cs="Times New Roman" w:hAnsi="Times New Roman"/>
          <w:sz w:val="28"/>
          <w:szCs w:val="28"/>
          <w:highlight w:val="none"/>
          <w:lang w:val="ru-RU" w:eastAsia="ru-RU"/>
        </w:rPr>
        <w:t>[</w:t>
      </w:r>
      <w:r>
        <w:rPr>
          <w:rFonts w:ascii="Times New Roman" w:cs="Times New Roman" w:hAnsi="Times New Roman"/>
          <w:color w:val="000000"/>
          <w:sz w:val="28"/>
          <w:szCs w:val="28"/>
          <w:highlight w:val="none"/>
          <w:rtl w:val="off"/>
          <w:lang w:val="en-US"/>
        </w:rPr>
        <w:t>The components of leadership</w:t>
      </w:r>
      <w:r>
        <w:rPr>
          <w:rFonts w:ascii="Times New Roman" w:cs="Times New Roman" w:hAnsi="Times New Roman"/>
          <w:sz w:val="28"/>
          <w:szCs w:val="28"/>
          <w:highlight w:val="none"/>
          <w:lang w:val="ru-RU" w:eastAsia="ru-RU"/>
        </w:rPr>
        <w:t xml:space="preserve">]. </w:t>
      </w:r>
      <w:r>
        <w:rPr>
          <w:rFonts w:ascii="Times New Roman" w:cs="Times New Roman" w:hAnsi="Times New Roman"/>
          <w:sz w:val="28"/>
          <w:szCs w:val="28"/>
          <w:highlight w:val="none"/>
          <w:lang w:val="en-US" w:eastAsia="ru-RU"/>
        </w:rPr>
        <w:t>In:</w:t>
      </w:r>
      <w:r>
        <w:rPr>
          <w:highlight w:val="none"/>
          <w:lang w:val="ru-RU" w:eastAsia="ru-RU"/>
        </w:rPr>
        <w:t xml:space="preserve"> </w:t>
      </w:r>
      <w:r>
        <w:rPr>
          <w:i/>
          <w:iCs/>
          <w:highlight w:val="none"/>
          <w:lang w:val="ru-RU" w:eastAsia="ru-RU"/>
        </w:rPr>
        <w:t>Mir politiki: suzhdeniya i ocenki zapadny`x politologov.</w:t>
      </w:r>
      <w:r>
        <w:rPr>
          <w:highlight w:val="none"/>
          <w:lang w:val="ru-RU" w:eastAsia="ru-RU"/>
        </w:rPr>
        <w:t xml:space="preserve"> M., 1992. Р</w:t>
      </w:r>
      <w:r>
        <w:rPr>
          <w:highlight w:val="none"/>
          <w:lang w:val="en-US" w:eastAsia="ru-RU"/>
        </w:rPr>
        <w:t>p</w:t>
      </w:r>
      <w:r>
        <w:rPr>
          <w:highlight w:val="none"/>
          <w:lang w:val="ru-RU" w:eastAsia="ru-RU"/>
        </w:rPr>
        <w:t>. 91–107.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360" w:lineRule="auto"/>
        <w:ind w:left="0" w:right="0" w:firstLine="709"/>
        <w:jc w:val="both"/>
        <w:rPr>
          <w:highlight w:val="none"/>
          <w:lang w:val="ru-RU" w:eastAsia="ru-RU"/>
        </w:rPr>
      </w:pPr>
      <w:r>
        <w:rPr>
          <w:highlight w:val="none"/>
          <w:lang w:val="ru-RU" w:eastAsia="ru-RU"/>
        </w:rPr>
        <w:t>3. Lotman Yu. M. Simvol v sisteme kul`tury`</w:t>
      </w:r>
      <w:r>
        <w:rPr>
          <w:rFonts w:ascii="Times New Roman" w:cs="Times New Roman" w:hAnsi="Times New Roman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highlight w:val="none"/>
          <w:lang w:val="ru-RU" w:eastAsia="ru-RU"/>
        </w:rPr>
        <w:t>[</w:t>
      </w:r>
      <w:r>
        <w:rPr>
          <w:rFonts w:ascii="Times New Roman" w:cs="Times New Roman" w:hAnsi="Times New Roman"/>
          <w:sz w:val="28"/>
          <w:szCs w:val="28"/>
          <w:highlight w:val="none"/>
          <w:lang w:val="en-US" w:eastAsia="ru-RU"/>
        </w:rPr>
        <w:t>S</w:t>
      </w:r>
      <w:r>
        <w:rPr>
          <w:rFonts w:ascii="Times New Roman" w:cs="Times New Roman" w:hAnsi="Times New Roman"/>
          <w:color w:val="000000"/>
          <w:sz w:val="28"/>
          <w:szCs w:val="28"/>
          <w:highlight w:val="none"/>
          <w:rtl w:val="off"/>
          <w:lang w:val="en-US"/>
        </w:rPr>
        <w:t>ymbol in the cultural system</w:t>
      </w:r>
      <w:r>
        <w:rPr>
          <w:rFonts w:ascii="Times New Roman" w:cs="Times New Roman" w:hAnsi="Times New Roman"/>
          <w:highlight w:val="none"/>
          <w:lang w:val="ru-RU" w:eastAsia="ru-RU"/>
        </w:rPr>
        <w:t xml:space="preserve">]. </w:t>
      </w:r>
      <w:r>
        <w:rPr>
          <w:rFonts w:ascii="Times New Roman" w:cs="Times New Roman" w:hAnsi="Times New Roman"/>
          <w:highlight w:val="none"/>
          <w:lang w:val="en-US" w:eastAsia="ru-RU"/>
        </w:rPr>
        <w:t xml:space="preserve">In: </w:t>
      </w:r>
      <w:r>
        <w:rPr>
          <w:i/>
          <w:iCs/>
          <w:highlight w:val="none"/>
          <w:lang w:val="ru-RU" w:eastAsia="ru-RU"/>
        </w:rPr>
        <w:t xml:space="preserve">Izbranny`e stat`i : v 3 </w:t>
      </w:r>
      <w:r>
        <w:rPr>
          <w:i/>
          <w:iCs/>
          <w:highlight w:val="none"/>
          <w:lang w:val="en-US" w:eastAsia="ru-RU"/>
        </w:rPr>
        <w:t>tomah</w:t>
      </w:r>
      <w:r>
        <w:rPr>
          <w:i/>
          <w:iCs/>
          <w:highlight w:val="none"/>
          <w:lang w:val="ru-RU" w:eastAsia="ru-RU"/>
        </w:rPr>
        <w:t xml:space="preserve">. </w:t>
      </w:r>
      <w:r>
        <w:rPr>
          <w:i/>
          <w:iCs/>
          <w:highlight w:val="none"/>
          <w:lang w:val="en-US" w:eastAsia="ru-RU"/>
        </w:rPr>
        <w:t>Tom</w:t>
      </w:r>
      <w:r>
        <w:rPr>
          <w:i/>
          <w:iCs/>
          <w:highlight w:val="none"/>
          <w:lang w:val="ru-RU" w:eastAsia="ru-RU"/>
        </w:rPr>
        <w:t xml:space="preserve"> I. Stat`i po semiotike i topologii kul`tury`.</w:t>
      </w:r>
      <w:r>
        <w:rPr>
          <w:highlight w:val="none"/>
          <w:lang w:val="ru-RU" w:eastAsia="ru-RU"/>
        </w:rPr>
        <w:t xml:space="preserve"> Tallin: Aleksandra, 1992. </w:t>
      </w:r>
      <w:r>
        <w:rPr>
          <w:highlight w:val="none"/>
          <w:lang w:val="en-US" w:eastAsia="ru-RU"/>
        </w:rPr>
        <w:t>Pp</w:t>
      </w:r>
      <w:r>
        <w:rPr>
          <w:highlight w:val="none"/>
          <w:lang w:val="ru-RU" w:eastAsia="ru-RU"/>
        </w:rPr>
        <w:t xml:space="preserve">. 191–199. </w:t>
      </w:r>
      <w:r>
        <w:rPr>
          <w:highlight w:val="none"/>
          <w:lang w:val="en-US" w:eastAsia="ru-RU"/>
        </w:rPr>
        <w:t>URL</w:t>
      </w:r>
      <w:r>
        <w:rPr>
          <w:highlight w:val="none"/>
          <w:lang w:eastAsia="ru-RU"/>
        </w:rPr>
        <w:t>: </w:t>
      </w:r>
      <w:r>
        <w:fldChar w:fldCharType="begin"/>
      </w:r>
      <w:r>
        <w:instrText xml:space="preserve">HYPERLINK "http://philologos.narod.ru/lotman/symbol.htm" </w:instrText>
      </w:r>
      <w:r>
        <w:fldChar w:fldCharType="separate"/>
      </w:r>
      <w:r>
        <w:rPr>
          <w:highlight w:val="none"/>
          <w:lang w:eastAsia="ru-RU"/>
        </w:rPr>
        <w:t>http://philologos.narod.ru/lotman/symbol.htm</w:t>
      </w:r>
      <w:r>
        <w:fldChar w:fldCharType="end"/>
      </w:r>
      <w:r>
        <w:rPr>
          <w:highlight w:val="none"/>
          <w:lang w:eastAsia="ru-RU"/>
        </w:rPr>
        <w:t xml:space="preserve"> </w:t>
      </w:r>
      <w:r>
        <w:rPr>
          <w:highlight w:val="none"/>
          <w:lang w:val="ru-RU" w:eastAsia="ru-RU"/>
        </w:rPr>
        <w:t>(</w:t>
      </w:r>
      <w:r>
        <w:rPr>
          <w:highlight w:val="none"/>
          <w:lang w:val="ru-RU" w:eastAsia="ru-RU"/>
        </w:rPr>
        <w:t>data obrashheniya: 25.12.2025).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360" w:lineRule="auto"/>
        <w:ind w:left="0" w:right="0" w:firstLine="709"/>
        <w:jc w:val="both"/>
        <w:rPr>
          <w:highlight w:val="none"/>
          <w:lang w:val="ru-RU" w:eastAsia="ru-RU"/>
        </w:rPr>
      </w:pPr>
      <w:r>
        <w:rPr>
          <w:highlight w:val="none"/>
          <w:lang w:val="ru-RU" w:eastAsia="ru-RU"/>
        </w:rPr>
        <w:t xml:space="preserve">4. </w:t>
      </w:r>
      <w:r>
        <w:rPr>
          <w:rFonts w:ascii="Times New Roman" w:cs="Times New Roman" w:hAnsi="Times New Roman"/>
          <w:i w:val="off"/>
          <w:iCs w:val="off"/>
          <w:sz w:val="28"/>
          <w:szCs w:val="28"/>
          <w:highlight w:val="none"/>
          <w:lang w:val="ru-RU" w:eastAsia="ru-RU"/>
        </w:rPr>
        <w:t>Rasskazy` o snovideniyax : korpusnoe issledovanie ustnogo russkogo diskursa</w:t>
      </w:r>
      <w:r>
        <w:rPr>
          <w:rFonts w:ascii="Times New Roman" w:cs="Times New Roman" w:hAnsi="Times New Roman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highlight w:val="none"/>
          <w:lang w:val="ru-RU" w:eastAsia="ru-RU"/>
        </w:rPr>
        <w:t>[</w:t>
      </w:r>
      <w:r>
        <w:rPr>
          <w:rFonts w:ascii="Times New Roman" w:cs="Times New Roman" w:hAnsi="Times New Roman"/>
          <w:color w:val="000000"/>
          <w:sz w:val="28"/>
          <w:szCs w:val="28"/>
          <w:highlight w:val="none"/>
          <w:rtl w:val="off"/>
          <w:lang w:val="en-US"/>
        </w:rPr>
        <w:t>Dream stories: a corpus-based study of oral Russian discourse</w:t>
      </w:r>
      <w:r>
        <w:rPr>
          <w:rFonts w:ascii="Times New Roman" w:cs="Times New Roman" w:hAnsi="Times New Roman"/>
          <w:sz w:val="28"/>
          <w:szCs w:val="28"/>
          <w:highlight w:val="none"/>
          <w:lang w:val="ru-RU" w:eastAsia="ru-RU"/>
        </w:rPr>
        <w:t xml:space="preserve">]. </w:t>
      </w:r>
      <w:r>
        <w:rPr>
          <w:rFonts w:ascii="Times New Roman" w:cs="Times New Roman" w:hAnsi="Times New Roman"/>
          <w:sz w:val="28"/>
          <w:szCs w:val="28"/>
          <w:highlight w:val="none"/>
          <w:lang w:val="en-US" w:eastAsia="ru-RU"/>
        </w:rPr>
        <w:t>P</w:t>
      </w:r>
      <w:r>
        <w:rPr>
          <w:highlight w:val="none"/>
          <w:lang w:val="ru-RU" w:eastAsia="ru-RU"/>
        </w:rPr>
        <w:t>od red. A. A. Kibrika i V. I. Podlesskoj. M.: Yazy`ki slavyanskix kul`tur, 2009. 736 р.</w:t>
      </w:r>
    </w:p>
    <w:p>
      <w:pPr>
        <w:spacing w:line="360"/>
        <w:ind w:firstLine="709"/>
        <w:jc w:val="both"/>
        <w:rPr>
          <w:lang w:eastAsia="ru-RU"/>
        </w:rPr>
      </w:pPr>
      <w:r>
        <w:rPr>
          <w:highlight w:val="none"/>
          <w:lang w:val="ru-RU" w:eastAsia="ru-RU"/>
        </w:rPr>
        <w:t xml:space="preserve">5. Rougemont G. </w:t>
      </w:r>
      <w:r>
        <w:rPr>
          <w:i w:val="off"/>
          <w:iCs w:val="off"/>
          <w:highlight w:val="none"/>
          <w:lang w:val="ru-RU" w:eastAsia="ru-RU"/>
        </w:rPr>
        <w:t xml:space="preserve">Inscriptions grecques d’Iran et d’Asie centrale (Corpus Inscriptionum Iranicarum). </w:t>
      </w:r>
      <w:r>
        <w:rPr>
          <w:highlight w:val="none"/>
          <w:lang w:val="ru-RU" w:eastAsia="ru-RU"/>
        </w:rPr>
        <w:t xml:space="preserve">London, 2012. </w:t>
      </w:r>
      <w:r>
        <w:rPr>
          <w:highlight w:val="none"/>
          <w:lang w:val="en-US" w:eastAsia="ru-RU"/>
        </w:rPr>
        <w:t xml:space="preserve">225 </w:t>
      </w:r>
      <w:r>
        <w:rPr>
          <w:highlight w:val="none"/>
          <w:lang w:val="ru-RU" w:eastAsia="ru-RU"/>
        </w:rPr>
        <w:t>р.</w:t>
      </w:r>
    </w:p>
    <w:p>
      <w:pPr>
        <w:rPr>
          <w:lang w:eastAsia="ru-RU"/>
        </w:rPr>
      </w:pPr>
    </w:p>
    <w:p>
      <w:pPr>
        <w:rPr>
          <w:lang w:eastAsia="ru-RU"/>
        </w:rPr>
      </w:pPr>
    </w:p>
    <w:p>
      <w:pPr>
        <w:jc w:val="center"/>
        <w:rPr>
          <w:lang w:eastAsia="ru-RU"/>
        </w:rPr>
      </w:pPr>
      <w:r>
        <w:rPr>
          <w:lang w:eastAsia="ru-RU"/>
        </w:rPr>
        <w:t xml:space="preserve">В конце статьи после </w:t>
      </w:r>
      <w:r>
        <w:rPr>
          <w:lang w:val="en-US" w:eastAsia="ru-RU"/>
        </w:rPr>
        <w:t>R</w:t>
      </w:r>
      <w:r>
        <w:rPr>
          <w:lang w:eastAsia="ru-RU"/>
        </w:rPr>
        <w:t xml:space="preserve">eferences </w:t>
      </w:r>
      <w:r>
        <w:rPr>
          <w:lang w:eastAsia="ru-RU"/>
        </w:rPr>
        <w:t>(</w:t>
      </w:r>
      <w:r>
        <w:rPr>
          <w:color w:val="ff0000"/>
          <w:lang w:eastAsia="ru-RU"/>
        </w:rPr>
        <w:t>таблица в 2 колонки со скрытой сеткой</w:t>
      </w:r>
      <w:r>
        <w:rPr>
          <w:color w:val="ff0000"/>
          <w:lang w:val="ru-RU" w:eastAsia="ru-RU"/>
        </w:rPr>
        <w:t>,</w:t>
      </w:r>
      <w:r>
        <w:rPr>
          <w:color w:val="ff0000"/>
          <w:lang w:eastAsia="ru-RU"/>
        </w:rPr>
        <w:t xml:space="preserve"> </w:t>
      </w:r>
      <w:r>
        <w:rPr>
          <w:color w:val="ff0000"/>
          <w:lang w:eastAsia="ru-RU"/>
        </w:rPr>
        <w:t xml:space="preserve">14 шрифт через 1 </w:t>
      </w:r>
      <w:r>
        <w:rPr>
          <w:color w:val="ff0000"/>
          <w:lang w:val="ru-RU" w:eastAsia="ru-RU"/>
        </w:rPr>
        <w:t>интервал, курсив, отступ абзаца 1,25</w:t>
      </w:r>
      <w:r>
        <w:rPr>
          <w:lang w:eastAsia="ru-RU"/>
        </w:rPr>
        <w:t>)</w:t>
      </w:r>
    </w:p>
    <w:p>
      <w:pPr>
        <w:jc w:val="center"/>
        <w:rPr>
          <w:lang w:eastAsia="ru-RU"/>
        </w:rPr>
      </w:pPr>
    </w:p>
    <w:tbl>
      <w:tblPr>
        <w:tblW w:w="108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400"/>
        <w:gridCol w:w="5400"/>
      </w:tblGrid>
      <w:tr>
        <w:trPr>
          <w:jc w:val="center"/>
        </w:trPr>
        <w:tc>
          <w:tcPr>
            <w:cnfStyle w:val="101000000000"/>
            <w:tcW w:w="5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/>
              <w:ind w:firstLine="709"/>
              <w:rPr>
                <w:i/>
                <w:iCs/>
                <w:lang w:eastAsia="ru-RU"/>
              </w:rPr>
            </w:pPr>
            <w:r>
              <w:rPr>
                <w:i/>
                <w:iCs/>
                <w:lang w:eastAsia="ru-RU"/>
              </w:rPr>
              <w:t>Институт востоковедения Российской академии наук</w:t>
            </w:r>
          </w:p>
        </w:tc>
        <w:tc>
          <w:tcPr>
            <w:cnfStyle w:val="100000000000"/>
            <w:tcW w:w="5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/>
              <w:ind w:firstLine="709"/>
              <w:rPr>
                <w:i/>
                <w:iCs/>
                <w:lang w:val="en-US" w:eastAsia="ru-RU"/>
              </w:rPr>
            </w:pPr>
            <w:r>
              <w:rPr>
                <w:i/>
                <w:iCs/>
                <w:lang w:val="en-US" w:eastAsia="ru-RU"/>
              </w:rPr>
              <w:t>Institute of Oriental Studies Russian Academy of Sciences</w:t>
            </w:r>
          </w:p>
        </w:tc>
      </w:tr>
      <w:tr>
        <w:trPr>
          <w:jc w:val="center"/>
        </w:trPr>
        <w:tc>
          <w:tcPr>
            <w:cnfStyle w:val="001000100000"/>
            <w:tcW w:w="5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/>
              <w:ind w:firstLine="709"/>
              <w:rPr>
                <w:i/>
                <w:iCs/>
                <w:lang w:eastAsia="ru-RU"/>
              </w:rPr>
            </w:pPr>
            <w:r>
              <w:rPr>
                <w:i/>
                <w:iCs/>
                <w:lang w:eastAsia="ru-RU"/>
              </w:rPr>
              <w:t>Балахванцев</w:t>
            </w:r>
            <w:r>
              <w:rPr>
                <w:i/>
                <w:iCs/>
                <w:lang w:eastAsia="ru-RU"/>
              </w:rPr>
              <w:t xml:space="preserve"> А.С., кандидат исторических наук, </w:t>
            </w:r>
            <w:r>
              <w:rPr>
                <w:i/>
                <w:iCs/>
                <w:lang w:eastAsia="ru-RU"/>
              </w:rPr>
              <w:t>научный сотрудник отдела Древнего Востока</w:t>
            </w:r>
          </w:p>
          <w:p>
            <w:pPr>
              <w:spacing w:line="240"/>
              <w:ind w:firstLine="709"/>
              <w:rPr>
                <w:i/>
                <w:iCs/>
                <w:lang w:eastAsia="ru-RU"/>
              </w:rPr>
            </w:pPr>
            <w:r>
              <w:rPr>
                <w:i/>
                <w:iCs/>
                <w:lang w:eastAsia="ru-RU"/>
              </w:rPr>
              <w:t>E-</w:t>
            </w:r>
            <w:r>
              <w:rPr>
                <w:i/>
                <w:iCs/>
                <w:lang w:eastAsia="ru-RU"/>
              </w:rPr>
              <w:t>mail</w:t>
            </w:r>
            <w:r>
              <w:rPr>
                <w:i/>
                <w:iCs/>
                <w:lang w:eastAsia="ru-RU"/>
              </w:rPr>
              <w:t xml:space="preserve">: </w:t>
            </w:r>
            <w:r>
              <w:rPr>
                <w:i/>
                <w:iCs/>
                <w:lang w:eastAsia="ru-RU"/>
              </w:rPr>
              <w:t>balakhvantsev@gmail.com</w:t>
            </w:r>
          </w:p>
          <w:p>
            <w:pPr>
              <w:spacing w:line="240"/>
              <w:ind w:firstLine="709"/>
              <w:rPr>
                <w:i/>
                <w:iCs/>
                <w:lang w:eastAsia="ru-RU"/>
              </w:rPr>
            </w:pPr>
            <w:r>
              <w:rPr>
                <w:i/>
                <w:iCs/>
                <w:lang w:eastAsia="ru-RU"/>
              </w:rPr>
              <w:t>Тел.: 8-916-272-61-53</w:t>
            </w:r>
          </w:p>
        </w:tc>
        <w:tc>
          <w:tcPr>
            <w:cnfStyle w:val="000000100000"/>
            <w:tcW w:w="5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/>
              <w:ind w:firstLine="709"/>
              <w:rPr>
                <w:i/>
                <w:iCs/>
                <w:lang w:val="en-US" w:eastAsia="ru-RU"/>
              </w:rPr>
            </w:pPr>
            <w:r>
              <w:rPr>
                <w:i/>
                <w:iCs/>
                <w:lang w:val="en-US" w:eastAsia="ru-RU"/>
              </w:rPr>
              <w:t>Balakhvantsev</w:t>
            </w:r>
            <w:r>
              <w:rPr>
                <w:i/>
                <w:iCs/>
                <w:lang w:val="en-US" w:eastAsia="ru-RU"/>
              </w:rPr>
              <w:t xml:space="preserve"> A.S., Candidate of Historical Sciences, </w:t>
            </w:r>
            <w:r>
              <w:rPr>
                <w:i/>
                <w:iCs/>
                <w:lang w:val="en-US" w:eastAsia="ru-RU"/>
              </w:rPr>
              <w:t>Researcher of the Ancient Orient Department</w:t>
            </w:r>
          </w:p>
          <w:p>
            <w:pPr>
              <w:spacing w:line="240"/>
              <w:ind w:firstLine="709"/>
              <w:rPr>
                <w:i/>
                <w:iCs/>
                <w:lang w:val="en-US" w:eastAsia="ru-RU"/>
              </w:rPr>
            </w:pPr>
            <w:r>
              <w:rPr>
                <w:i/>
                <w:iCs/>
                <w:lang w:val="en-US" w:eastAsia="ru-RU"/>
              </w:rPr>
              <w:t xml:space="preserve">E-mail: </w:t>
            </w:r>
            <w:r>
              <w:rPr>
                <w:i/>
                <w:iCs/>
                <w:lang w:val="en-US" w:eastAsia="ru-RU"/>
              </w:rPr>
              <w:t>balakhvantsev@gmail.com</w:t>
            </w:r>
          </w:p>
          <w:p>
            <w:pPr>
              <w:spacing w:line="240"/>
              <w:ind w:firstLine="709"/>
              <w:rPr>
                <w:i/>
                <w:iCs/>
                <w:lang w:val="en-US" w:eastAsia="ru-RU"/>
              </w:rPr>
            </w:pPr>
            <w:r>
              <w:rPr>
                <w:i/>
                <w:iCs/>
                <w:lang w:val="en-US" w:eastAsia="ru-RU"/>
              </w:rPr>
              <w:t>Tel.: 8-916-272-61-53</w:t>
            </w:r>
          </w:p>
        </w:tc>
      </w:tr>
    </w:tbl>
    <w:p>
      <w:pPr>
        <w:rPr>
          <w:lang w:eastAsia="ru-RU"/>
        </w:rPr>
      </w:pPr>
    </w:p>
    <w:p>
      <w:pPr>
        <w:rPr>
          <w:lang w:eastAsia="ru-RU"/>
        </w:rPr>
      </w:pPr>
    </w:p>
    <w:p>
      <w:pPr>
        <w:jc w:val="both"/>
        <w:rPr/>
      </w:pPr>
    </w:p>
    <w:sectPr>
      <w:footnotePr/>
      <w:type w:val="nextPage"/>
      <w:pgSz w:w="11906" w:h="16838" w:orient="portrait"/>
      <w:pgMar w:top="1247" w:right="1361" w:bottom="1814" w:left="1361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PT Sans Caption">
    <w:altName w:val="Times New Roman"/>
    <w:panose1 w:val="00000000000000000000"/>
    <w:charset w:val="00"/>
    <w:family w:val="roman"/>
    <w:notTrueType w:val="on"/>
    <w:pitch w:val="default"/>
  </w:font>
  <w:font w:name="ys text">
    <w:charset w:val="00"/>
  </w:font>
  <w:font w:name="Segoe UI">
    <w:charset w:val="00"/>
  </w:font>
  <w:font w:name="等线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等线" w:hAnsi="Times New Roman"/>
        <w:sz w:val="28"/>
        <w:szCs w:val="22"/>
      </w:rPr>
    </w:rPrDefault>
    <w:pPrDefault>
      <w:pPr>
        <w:spacing w:after="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Author</cp:lastModifiedBy>
</cp:coreProperties>
</file>